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940" w:type="dxa"/>
        <w:tblInd w:w="-162" w:type="dxa"/>
        <w:tblLayout w:type="fixed"/>
        <w:tblLook w:val="04A0"/>
      </w:tblPr>
      <w:tblGrid>
        <w:gridCol w:w="2070"/>
        <w:gridCol w:w="2101"/>
        <w:gridCol w:w="2129"/>
        <w:gridCol w:w="1972"/>
        <w:gridCol w:w="1644"/>
        <w:gridCol w:w="3314"/>
        <w:gridCol w:w="990"/>
        <w:gridCol w:w="720"/>
      </w:tblGrid>
      <w:tr w:rsidR="002A0D13" w:rsidTr="009231A3">
        <w:tc>
          <w:tcPr>
            <w:tcW w:w="14940" w:type="dxa"/>
            <w:gridSpan w:val="8"/>
            <w:shd w:val="solid" w:color="B6DDE8" w:themeColor="accent5" w:themeTint="66" w:fill="B6DDE8" w:themeFill="accent5" w:themeFillTint="66"/>
          </w:tcPr>
          <w:p w:rsidR="002A0D13" w:rsidRPr="00013235" w:rsidRDefault="002A0D13">
            <w:pPr>
              <w:rPr>
                <w:b/>
                <w:sz w:val="24"/>
                <w:szCs w:val="24"/>
              </w:rPr>
            </w:pPr>
            <w:r w:rsidRPr="00013235">
              <w:rPr>
                <w:b/>
                <w:sz w:val="24"/>
                <w:szCs w:val="24"/>
              </w:rPr>
              <w:t>English Immersion: teaching English learners only in English (part of English-only movement)</w:t>
            </w:r>
          </w:p>
        </w:tc>
      </w:tr>
      <w:tr w:rsidR="009231A3" w:rsidTr="00FB59C4">
        <w:tc>
          <w:tcPr>
            <w:tcW w:w="2070" w:type="dxa"/>
            <w:shd w:val="solid" w:color="B6DDE8" w:themeColor="accent5" w:themeTint="66" w:fill="auto"/>
          </w:tcPr>
          <w:p w:rsidR="009231A3" w:rsidRPr="00013235" w:rsidRDefault="009231A3">
            <w:pPr>
              <w:rPr>
                <w:b/>
              </w:rPr>
            </w:pPr>
            <w:r w:rsidRPr="00013235">
              <w:rPr>
                <w:b/>
              </w:rPr>
              <w:t>submersion</w:t>
            </w:r>
          </w:p>
        </w:tc>
        <w:tc>
          <w:tcPr>
            <w:tcW w:w="12150" w:type="dxa"/>
            <w:gridSpan w:val="6"/>
            <w:shd w:val="pct60" w:color="B6DDE8" w:themeColor="accent5" w:themeTint="66" w:fill="auto"/>
          </w:tcPr>
          <w:p w:rsidR="009231A3" w:rsidRDefault="009231A3">
            <w:r>
              <w:t>No special accommodations for English language learners</w:t>
            </w:r>
          </w:p>
        </w:tc>
        <w:tc>
          <w:tcPr>
            <w:tcW w:w="720" w:type="dxa"/>
            <w:shd w:val="solid" w:color="B6DDE8" w:themeColor="accent5" w:themeTint="66" w:fill="auto"/>
          </w:tcPr>
          <w:p w:rsidR="009231A3" w:rsidRDefault="009231A3">
            <w:r>
              <w:t>12%</w:t>
            </w:r>
          </w:p>
        </w:tc>
      </w:tr>
      <w:tr w:rsidR="002A0D13" w:rsidTr="00D36259">
        <w:tc>
          <w:tcPr>
            <w:tcW w:w="2070" w:type="dxa"/>
            <w:shd w:val="solid" w:color="B6DDE8" w:themeColor="accent5" w:themeTint="66" w:fill="auto"/>
          </w:tcPr>
          <w:p w:rsidR="002A0D13" w:rsidRPr="00013235" w:rsidRDefault="002A0D13">
            <w:pPr>
              <w:rPr>
                <w:b/>
              </w:rPr>
            </w:pPr>
          </w:p>
        </w:tc>
        <w:tc>
          <w:tcPr>
            <w:tcW w:w="2101" w:type="dxa"/>
            <w:shd w:val="solid" w:color="FFFFB3" w:fill="auto"/>
          </w:tcPr>
          <w:p w:rsidR="002A0D13" w:rsidRDefault="002A0D13">
            <w:r>
              <w:t>Entire student career</w:t>
            </w:r>
          </w:p>
        </w:tc>
        <w:tc>
          <w:tcPr>
            <w:tcW w:w="2129" w:type="dxa"/>
          </w:tcPr>
          <w:p w:rsidR="002A0D13" w:rsidRDefault="002A0D13">
            <w:r>
              <w:t>Immigrants/language minorities</w:t>
            </w:r>
          </w:p>
        </w:tc>
        <w:tc>
          <w:tcPr>
            <w:tcW w:w="1972" w:type="dxa"/>
            <w:shd w:val="clear" w:color="auto" w:fill="FFFFB3"/>
          </w:tcPr>
          <w:p w:rsidR="002A0D13" w:rsidRDefault="002A0D13">
            <w:r>
              <w:t>English</w:t>
            </w:r>
          </w:p>
        </w:tc>
        <w:tc>
          <w:tcPr>
            <w:tcW w:w="1644" w:type="dxa"/>
          </w:tcPr>
          <w:p w:rsidR="002A0D13" w:rsidRDefault="002A0D13">
            <w:proofErr w:type="spellStart"/>
            <w:r>
              <w:t>monolingualism</w:t>
            </w:r>
            <w:proofErr w:type="spellEnd"/>
          </w:p>
        </w:tc>
        <w:tc>
          <w:tcPr>
            <w:tcW w:w="3314" w:type="dxa"/>
            <w:shd w:val="clear" w:color="auto" w:fill="FFFFB3"/>
          </w:tcPr>
          <w:p w:rsidR="002A0D13" w:rsidRDefault="002A0D13">
            <w:r>
              <w:t>No extra costs</w:t>
            </w:r>
          </w:p>
        </w:tc>
        <w:tc>
          <w:tcPr>
            <w:tcW w:w="990" w:type="dxa"/>
          </w:tcPr>
          <w:p w:rsidR="002A0D13" w:rsidRDefault="002A0D13">
            <w:r>
              <w:t>English</w:t>
            </w:r>
          </w:p>
        </w:tc>
        <w:tc>
          <w:tcPr>
            <w:tcW w:w="720" w:type="dxa"/>
            <w:vMerge w:val="restart"/>
            <w:shd w:val="solid" w:color="B6DDE8" w:themeColor="accent5" w:themeTint="66" w:fill="auto"/>
          </w:tcPr>
          <w:p w:rsidR="002A0D13" w:rsidRDefault="002A0D13">
            <w:r>
              <w:t>48%</w:t>
            </w:r>
          </w:p>
        </w:tc>
      </w:tr>
      <w:tr w:rsidR="009231A3" w:rsidTr="009231A3">
        <w:tc>
          <w:tcPr>
            <w:tcW w:w="2070" w:type="dxa"/>
            <w:shd w:val="solid" w:color="B6DDE8" w:themeColor="accent5" w:themeTint="66" w:fill="auto"/>
          </w:tcPr>
          <w:p w:rsidR="009231A3" w:rsidRPr="00013235" w:rsidRDefault="009231A3">
            <w:pPr>
              <w:rPr>
                <w:b/>
              </w:rPr>
            </w:pPr>
            <w:r w:rsidRPr="00013235">
              <w:rPr>
                <w:b/>
              </w:rPr>
              <w:t>Sheltered English immersion</w:t>
            </w:r>
          </w:p>
        </w:tc>
        <w:tc>
          <w:tcPr>
            <w:tcW w:w="12150" w:type="dxa"/>
            <w:gridSpan w:val="6"/>
            <w:shd w:val="pct60" w:color="B6DDE8" w:themeColor="accent5" w:themeTint="66" w:fill="auto"/>
          </w:tcPr>
          <w:p w:rsidR="009231A3" w:rsidRDefault="009231A3">
            <w:r>
              <w:t>Students are separated out from native English speakers and taught part of the curriculum (and not just English</w:t>
            </w:r>
            <w:proofErr w:type="gramStart"/>
            <w:r>
              <w:t>)  in</w:t>
            </w:r>
            <w:proofErr w:type="gramEnd"/>
            <w:r>
              <w:t xml:space="preserve"> a simplified version of English, with increased non-verbal communication (visual aids, gestures), simple syntax, repetitions, summaries, slow, and frequent checks for understanding. Special curriculum materials are developed.</w:t>
            </w:r>
          </w:p>
        </w:tc>
        <w:tc>
          <w:tcPr>
            <w:tcW w:w="720" w:type="dxa"/>
            <w:vMerge/>
            <w:shd w:val="solid" w:color="B6DDE8" w:themeColor="accent5" w:themeTint="66" w:fill="auto"/>
          </w:tcPr>
          <w:p w:rsidR="009231A3" w:rsidRDefault="009231A3"/>
        </w:tc>
      </w:tr>
      <w:tr w:rsidR="002A0D13" w:rsidTr="00D36259">
        <w:tc>
          <w:tcPr>
            <w:tcW w:w="2070" w:type="dxa"/>
            <w:shd w:val="solid" w:color="B6DDE8" w:themeColor="accent5" w:themeTint="66" w:fill="auto"/>
          </w:tcPr>
          <w:p w:rsidR="002A0D13" w:rsidRPr="00013235" w:rsidRDefault="002A0D13">
            <w:pPr>
              <w:rPr>
                <w:b/>
              </w:rPr>
            </w:pPr>
          </w:p>
        </w:tc>
        <w:tc>
          <w:tcPr>
            <w:tcW w:w="2101" w:type="dxa"/>
            <w:shd w:val="solid" w:color="FFFFB3" w:fill="auto"/>
          </w:tcPr>
          <w:p w:rsidR="002A0D13" w:rsidRDefault="002A0D13">
            <w:r>
              <w:t>Usually one year, sometimes more</w:t>
            </w:r>
          </w:p>
        </w:tc>
        <w:tc>
          <w:tcPr>
            <w:tcW w:w="2129" w:type="dxa"/>
          </w:tcPr>
          <w:p w:rsidR="002A0D13" w:rsidRDefault="002A0D13">
            <w:r>
              <w:t>immigrants/language minorities</w:t>
            </w:r>
          </w:p>
        </w:tc>
        <w:tc>
          <w:tcPr>
            <w:tcW w:w="1972" w:type="dxa"/>
            <w:shd w:val="clear" w:color="auto" w:fill="FFFFB3"/>
          </w:tcPr>
          <w:p w:rsidR="002A0D13" w:rsidRDefault="002A0D13">
            <w:r>
              <w:t>English</w:t>
            </w:r>
          </w:p>
        </w:tc>
        <w:tc>
          <w:tcPr>
            <w:tcW w:w="1644" w:type="dxa"/>
          </w:tcPr>
          <w:p w:rsidR="002A0D13" w:rsidRDefault="002A0D13">
            <w:proofErr w:type="spellStart"/>
            <w:r>
              <w:t>monolingualism</w:t>
            </w:r>
            <w:proofErr w:type="spellEnd"/>
          </w:p>
        </w:tc>
        <w:tc>
          <w:tcPr>
            <w:tcW w:w="3314" w:type="dxa"/>
            <w:shd w:val="clear" w:color="auto" w:fill="FFFFB3"/>
          </w:tcPr>
          <w:p w:rsidR="002A0D13" w:rsidRDefault="002A0D13">
            <w:r>
              <w:t>Additional costs intermediate</w:t>
            </w:r>
          </w:p>
        </w:tc>
        <w:tc>
          <w:tcPr>
            <w:tcW w:w="990" w:type="dxa"/>
          </w:tcPr>
          <w:p w:rsidR="002A0D13" w:rsidRDefault="002A0D13">
            <w:r>
              <w:t>English</w:t>
            </w:r>
          </w:p>
        </w:tc>
        <w:tc>
          <w:tcPr>
            <w:tcW w:w="720" w:type="dxa"/>
            <w:vMerge/>
            <w:shd w:val="solid" w:color="B6DDE8" w:themeColor="accent5" w:themeTint="66" w:fill="auto"/>
          </w:tcPr>
          <w:p w:rsidR="002A0D13" w:rsidRDefault="002A0D13"/>
        </w:tc>
      </w:tr>
      <w:tr w:rsidR="009231A3" w:rsidTr="009231A3">
        <w:tc>
          <w:tcPr>
            <w:tcW w:w="2070" w:type="dxa"/>
            <w:shd w:val="solid" w:color="B6DDE8" w:themeColor="accent5" w:themeTint="66" w:fill="auto"/>
          </w:tcPr>
          <w:p w:rsidR="009231A3" w:rsidRPr="00013235" w:rsidRDefault="009231A3">
            <w:pPr>
              <w:rPr>
                <w:b/>
              </w:rPr>
            </w:pPr>
            <w:r w:rsidRPr="00013235">
              <w:rPr>
                <w:b/>
              </w:rPr>
              <w:t>Pull-out ESL classes</w:t>
            </w:r>
          </w:p>
        </w:tc>
        <w:tc>
          <w:tcPr>
            <w:tcW w:w="12150" w:type="dxa"/>
            <w:gridSpan w:val="6"/>
            <w:shd w:val="pct60" w:color="B6DDE8" w:themeColor="accent5" w:themeTint="66" w:fill="auto"/>
          </w:tcPr>
          <w:p w:rsidR="009231A3" w:rsidRDefault="009231A3">
            <w:r>
              <w:t xml:space="preserve">Students taken out of mainstream English-only classes for 4-hour pull-out sessions for intensive English instruction. </w:t>
            </w:r>
          </w:p>
        </w:tc>
        <w:tc>
          <w:tcPr>
            <w:tcW w:w="720" w:type="dxa"/>
            <w:vMerge/>
            <w:shd w:val="solid" w:color="B6DDE8" w:themeColor="accent5" w:themeTint="66" w:fill="auto"/>
          </w:tcPr>
          <w:p w:rsidR="009231A3" w:rsidRDefault="009231A3"/>
        </w:tc>
      </w:tr>
      <w:tr w:rsidR="002A0D13" w:rsidTr="00D36259">
        <w:tc>
          <w:tcPr>
            <w:tcW w:w="2070" w:type="dxa"/>
            <w:shd w:val="solid" w:color="B6DDE8" w:themeColor="accent5" w:themeTint="66" w:fill="auto"/>
          </w:tcPr>
          <w:p w:rsidR="002A0D13" w:rsidRPr="00013235" w:rsidRDefault="002A0D13">
            <w:pPr>
              <w:rPr>
                <w:b/>
              </w:rPr>
            </w:pPr>
          </w:p>
        </w:tc>
        <w:tc>
          <w:tcPr>
            <w:tcW w:w="2101" w:type="dxa"/>
            <w:shd w:val="solid" w:color="FFFFB3" w:fill="auto"/>
          </w:tcPr>
          <w:p w:rsidR="002A0D13" w:rsidRDefault="002A0D13">
            <w:r>
              <w:t>Usually one year, sometimes more</w:t>
            </w:r>
          </w:p>
        </w:tc>
        <w:tc>
          <w:tcPr>
            <w:tcW w:w="2129" w:type="dxa"/>
          </w:tcPr>
          <w:p w:rsidR="002A0D13" w:rsidRDefault="002A0D13">
            <w:r>
              <w:t>immigrants/language minorities</w:t>
            </w:r>
          </w:p>
        </w:tc>
        <w:tc>
          <w:tcPr>
            <w:tcW w:w="1972" w:type="dxa"/>
            <w:shd w:val="clear" w:color="auto" w:fill="FFFFB3"/>
          </w:tcPr>
          <w:p w:rsidR="002A0D13" w:rsidRDefault="002A0D13">
            <w:r>
              <w:t>English</w:t>
            </w:r>
          </w:p>
        </w:tc>
        <w:tc>
          <w:tcPr>
            <w:tcW w:w="1644" w:type="dxa"/>
          </w:tcPr>
          <w:p w:rsidR="002A0D13" w:rsidRDefault="002A0D13">
            <w:proofErr w:type="spellStart"/>
            <w:r>
              <w:t>monolingualism</w:t>
            </w:r>
            <w:proofErr w:type="spellEnd"/>
          </w:p>
        </w:tc>
        <w:tc>
          <w:tcPr>
            <w:tcW w:w="3314" w:type="dxa"/>
            <w:shd w:val="clear" w:color="auto" w:fill="FFFFB3"/>
          </w:tcPr>
          <w:p w:rsidR="002A0D13" w:rsidRDefault="002A0D13">
            <w:r>
              <w:t>Least cost-effective</w:t>
            </w:r>
          </w:p>
        </w:tc>
        <w:tc>
          <w:tcPr>
            <w:tcW w:w="990" w:type="dxa"/>
          </w:tcPr>
          <w:p w:rsidR="002A0D13" w:rsidRDefault="002A0D13">
            <w:r>
              <w:t>English</w:t>
            </w:r>
          </w:p>
        </w:tc>
        <w:tc>
          <w:tcPr>
            <w:tcW w:w="720" w:type="dxa"/>
            <w:vMerge/>
            <w:shd w:val="solid" w:color="B6DDE8" w:themeColor="accent5" w:themeTint="66" w:fill="auto"/>
          </w:tcPr>
          <w:p w:rsidR="002A0D13" w:rsidRDefault="002A0D13"/>
        </w:tc>
      </w:tr>
      <w:tr w:rsidR="009231A3" w:rsidTr="009231A3">
        <w:tc>
          <w:tcPr>
            <w:tcW w:w="2070" w:type="dxa"/>
            <w:shd w:val="solid" w:color="B6DDE8" w:themeColor="accent5" w:themeTint="66" w:fill="auto"/>
          </w:tcPr>
          <w:p w:rsidR="009231A3" w:rsidRPr="00013235" w:rsidRDefault="009231A3">
            <w:pPr>
              <w:rPr>
                <w:b/>
              </w:rPr>
            </w:pPr>
            <w:r w:rsidRPr="00013235">
              <w:rPr>
                <w:b/>
              </w:rPr>
              <w:t>Plug-in ESL teachers</w:t>
            </w:r>
          </w:p>
        </w:tc>
        <w:tc>
          <w:tcPr>
            <w:tcW w:w="12150" w:type="dxa"/>
            <w:gridSpan w:val="6"/>
            <w:shd w:val="pct60" w:color="B6DDE8" w:themeColor="accent5" w:themeTint="66" w:fill="auto"/>
          </w:tcPr>
          <w:p w:rsidR="009231A3" w:rsidRDefault="009231A3">
            <w:r>
              <w:t xml:space="preserve">English teachers show up in mainstream classrooms to help English learners along </w:t>
            </w:r>
          </w:p>
        </w:tc>
        <w:tc>
          <w:tcPr>
            <w:tcW w:w="720" w:type="dxa"/>
            <w:vMerge/>
            <w:shd w:val="solid" w:color="B6DDE8" w:themeColor="accent5" w:themeTint="66" w:fill="auto"/>
          </w:tcPr>
          <w:p w:rsidR="009231A3" w:rsidRDefault="009231A3"/>
        </w:tc>
      </w:tr>
      <w:tr w:rsidR="002A0D13" w:rsidTr="00D36259">
        <w:tc>
          <w:tcPr>
            <w:tcW w:w="2070" w:type="dxa"/>
            <w:tcBorders>
              <w:bottom w:val="single" w:sz="4" w:space="0" w:color="000000" w:themeColor="text1"/>
            </w:tcBorders>
            <w:shd w:val="solid" w:color="B6DDE8" w:themeColor="accent5" w:themeTint="66" w:fill="auto"/>
          </w:tcPr>
          <w:p w:rsidR="002A0D13" w:rsidRPr="00013235" w:rsidRDefault="002A0D13">
            <w:pPr>
              <w:rPr>
                <w:b/>
              </w:rPr>
            </w:pPr>
          </w:p>
        </w:tc>
        <w:tc>
          <w:tcPr>
            <w:tcW w:w="2101" w:type="dxa"/>
            <w:tcBorders>
              <w:bottom w:val="single" w:sz="4" w:space="0" w:color="000000" w:themeColor="text1"/>
            </w:tcBorders>
            <w:shd w:val="clear" w:color="auto" w:fill="FFFFB3"/>
          </w:tcPr>
          <w:p w:rsidR="002A0D13" w:rsidRDefault="002A0D13">
            <w:r>
              <w:t>Usually one year, sometimes more</w:t>
            </w:r>
          </w:p>
        </w:tc>
        <w:tc>
          <w:tcPr>
            <w:tcW w:w="2129" w:type="dxa"/>
            <w:tcBorders>
              <w:bottom w:val="single" w:sz="4" w:space="0" w:color="000000" w:themeColor="text1"/>
            </w:tcBorders>
          </w:tcPr>
          <w:p w:rsidR="002A0D13" w:rsidRDefault="002A0D13">
            <w:r>
              <w:t>immigrants/language minorities</w:t>
            </w:r>
          </w:p>
        </w:tc>
        <w:tc>
          <w:tcPr>
            <w:tcW w:w="1972" w:type="dxa"/>
            <w:tcBorders>
              <w:bottom w:val="single" w:sz="4" w:space="0" w:color="000000" w:themeColor="text1"/>
            </w:tcBorders>
            <w:shd w:val="clear" w:color="auto" w:fill="FFFFB3"/>
          </w:tcPr>
          <w:p w:rsidR="002A0D13" w:rsidRDefault="002A0D13">
            <w:r>
              <w:t>English</w:t>
            </w:r>
          </w:p>
        </w:tc>
        <w:tc>
          <w:tcPr>
            <w:tcW w:w="1644" w:type="dxa"/>
            <w:tcBorders>
              <w:bottom w:val="single" w:sz="4" w:space="0" w:color="000000" w:themeColor="text1"/>
            </w:tcBorders>
          </w:tcPr>
          <w:p w:rsidR="002A0D13" w:rsidRDefault="002A0D13">
            <w:proofErr w:type="spellStart"/>
            <w:r>
              <w:t>monolingualism</w:t>
            </w:r>
            <w:proofErr w:type="spellEnd"/>
          </w:p>
        </w:tc>
        <w:tc>
          <w:tcPr>
            <w:tcW w:w="3314" w:type="dxa"/>
            <w:tcBorders>
              <w:bottom w:val="single" w:sz="4" w:space="0" w:color="000000" w:themeColor="text1"/>
            </w:tcBorders>
            <w:shd w:val="clear" w:color="auto" w:fill="FFFFB3"/>
          </w:tcPr>
          <w:p w:rsidR="002A0D13" w:rsidRDefault="002A0D13">
            <w:r>
              <w:t>Additional costs intermediate</w:t>
            </w:r>
          </w:p>
        </w:tc>
        <w:tc>
          <w:tcPr>
            <w:tcW w:w="990" w:type="dxa"/>
            <w:tcBorders>
              <w:bottom w:val="single" w:sz="4" w:space="0" w:color="000000" w:themeColor="text1"/>
            </w:tcBorders>
          </w:tcPr>
          <w:p w:rsidR="002A0D13" w:rsidRDefault="002A0D13">
            <w:r>
              <w:t>English</w:t>
            </w:r>
          </w:p>
        </w:tc>
        <w:tc>
          <w:tcPr>
            <w:tcW w:w="720" w:type="dxa"/>
            <w:vMerge/>
            <w:tcBorders>
              <w:bottom w:val="single" w:sz="4" w:space="0" w:color="000000" w:themeColor="text1"/>
            </w:tcBorders>
            <w:shd w:val="solid" w:color="B6DDE8" w:themeColor="accent5" w:themeTint="66" w:fill="auto"/>
          </w:tcPr>
          <w:p w:rsidR="002A0D13" w:rsidRDefault="002A0D13"/>
        </w:tc>
      </w:tr>
      <w:tr w:rsidR="002A0D13" w:rsidTr="009231A3">
        <w:tc>
          <w:tcPr>
            <w:tcW w:w="14940" w:type="dxa"/>
            <w:gridSpan w:val="8"/>
            <w:shd w:val="solid" w:color="FBD4B4" w:themeColor="accent6" w:themeTint="66" w:fill="auto"/>
          </w:tcPr>
          <w:p w:rsidR="002A0D13" w:rsidRPr="00013235" w:rsidRDefault="002A0D13" w:rsidP="0063379D">
            <w:pPr>
              <w:rPr>
                <w:b/>
                <w:sz w:val="24"/>
                <w:szCs w:val="24"/>
              </w:rPr>
            </w:pPr>
            <w:r w:rsidRPr="00013235">
              <w:rPr>
                <w:b/>
                <w:sz w:val="24"/>
                <w:szCs w:val="24"/>
              </w:rPr>
              <w:t>Bilingual Education: teaching English learners in both native language and in English</w:t>
            </w:r>
          </w:p>
        </w:tc>
      </w:tr>
      <w:tr w:rsidR="009231A3" w:rsidTr="009231A3">
        <w:tc>
          <w:tcPr>
            <w:tcW w:w="2070" w:type="dxa"/>
            <w:shd w:val="solid" w:color="FBD4B4" w:themeColor="accent6" w:themeTint="66" w:fill="auto"/>
          </w:tcPr>
          <w:p w:rsidR="009231A3" w:rsidRPr="00013235" w:rsidRDefault="009231A3">
            <w:pPr>
              <w:rPr>
                <w:b/>
              </w:rPr>
            </w:pPr>
            <w:r w:rsidRPr="00013235">
              <w:rPr>
                <w:b/>
              </w:rPr>
              <w:t>Transitional bilingual education model</w:t>
            </w:r>
          </w:p>
        </w:tc>
        <w:tc>
          <w:tcPr>
            <w:tcW w:w="12150" w:type="dxa"/>
            <w:gridSpan w:val="6"/>
            <w:shd w:val="pct60" w:color="FBD4B4" w:themeColor="accent6" w:themeTint="66" w:fill="auto"/>
          </w:tcPr>
          <w:p w:rsidR="009231A3" w:rsidRDefault="009231A3">
            <w:r>
              <w:t>Students are separated out and temporarily allowed to use their home language until they are thought to be proficient enough in the majority language to cope in mainstream education. Includes late-exit (5 years or more) and early exit (2 years max; often only one year)</w:t>
            </w:r>
            <w:r w:rsidR="00D36259">
              <w:t>.</w:t>
            </w:r>
          </w:p>
        </w:tc>
        <w:tc>
          <w:tcPr>
            <w:tcW w:w="720" w:type="dxa"/>
            <w:vMerge w:val="restart"/>
            <w:shd w:val="solid" w:color="FBD4B4" w:themeColor="accent6" w:themeTint="66" w:fill="auto"/>
          </w:tcPr>
          <w:p w:rsidR="009231A3" w:rsidRDefault="009231A3">
            <w:r>
              <w:t>40%</w:t>
            </w:r>
          </w:p>
        </w:tc>
      </w:tr>
      <w:tr w:rsidR="009231A3" w:rsidTr="00D36259">
        <w:tc>
          <w:tcPr>
            <w:tcW w:w="2070" w:type="dxa"/>
            <w:shd w:val="solid" w:color="FBD4B4" w:themeColor="accent6" w:themeTint="66" w:fill="auto"/>
          </w:tcPr>
          <w:p w:rsidR="009231A3" w:rsidRPr="00013235" w:rsidRDefault="009231A3">
            <w:pPr>
              <w:rPr>
                <w:b/>
              </w:rPr>
            </w:pPr>
          </w:p>
        </w:tc>
        <w:tc>
          <w:tcPr>
            <w:tcW w:w="2101" w:type="dxa"/>
            <w:shd w:val="clear" w:color="auto" w:fill="FFFFB3"/>
          </w:tcPr>
          <w:p w:rsidR="009231A3" w:rsidRDefault="009231A3">
            <w:r>
              <w:t>1-6 years</w:t>
            </w:r>
          </w:p>
        </w:tc>
        <w:tc>
          <w:tcPr>
            <w:tcW w:w="2129" w:type="dxa"/>
          </w:tcPr>
          <w:p w:rsidR="009231A3" w:rsidRDefault="009231A3">
            <w:r>
              <w:t>immigrants/language minorities</w:t>
            </w:r>
          </w:p>
        </w:tc>
        <w:tc>
          <w:tcPr>
            <w:tcW w:w="1972" w:type="dxa"/>
            <w:shd w:val="clear" w:color="auto" w:fill="FFFFB3"/>
          </w:tcPr>
          <w:p w:rsidR="009231A3" w:rsidRDefault="009231A3" w:rsidP="002A0D13">
            <w:r>
              <w:t>Minority language (may be 90% in first year, then transitioned to less in subsequent years) and English</w:t>
            </w:r>
          </w:p>
        </w:tc>
        <w:tc>
          <w:tcPr>
            <w:tcW w:w="1644" w:type="dxa"/>
          </w:tcPr>
          <w:p w:rsidR="009231A3" w:rsidRDefault="009231A3">
            <w:r>
              <w:t xml:space="preserve">Relative </w:t>
            </w:r>
            <w:proofErr w:type="spellStart"/>
            <w:r>
              <w:t>monolingualism</w:t>
            </w:r>
            <w:proofErr w:type="spellEnd"/>
          </w:p>
        </w:tc>
        <w:tc>
          <w:tcPr>
            <w:tcW w:w="3314" w:type="dxa"/>
            <w:shd w:val="clear" w:color="auto" w:fill="FFFFB3"/>
          </w:tcPr>
          <w:p w:rsidR="009231A3" w:rsidRDefault="009231A3">
            <w:r>
              <w:t>Additional costs intermediate</w:t>
            </w:r>
          </w:p>
        </w:tc>
        <w:tc>
          <w:tcPr>
            <w:tcW w:w="990" w:type="dxa"/>
          </w:tcPr>
          <w:p w:rsidR="009231A3" w:rsidRDefault="009231A3">
            <w:r>
              <w:t>bilingual</w:t>
            </w:r>
          </w:p>
        </w:tc>
        <w:tc>
          <w:tcPr>
            <w:tcW w:w="720" w:type="dxa"/>
            <w:vMerge/>
            <w:shd w:val="solid" w:color="FBD4B4" w:themeColor="accent6" w:themeTint="66" w:fill="auto"/>
          </w:tcPr>
          <w:p w:rsidR="009231A3" w:rsidRDefault="009231A3"/>
        </w:tc>
      </w:tr>
      <w:tr w:rsidR="009231A3" w:rsidTr="005C05A2">
        <w:trPr>
          <w:trHeight w:val="76"/>
        </w:trPr>
        <w:tc>
          <w:tcPr>
            <w:tcW w:w="2070" w:type="dxa"/>
            <w:shd w:val="solid" w:color="FBD4B4" w:themeColor="accent6" w:themeTint="66" w:fill="auto"/>
          </w:tcPr>
          <w:p w:rsidR="009231A3" w:rsidRPr="00013235" w:rsidRDefault="009231A3">
            <w:pPr>
              <w:rPr>
                <w:b/>
              </w:rPr>
            </w:pPr>
            <w:r w:rsidRPr="00013235">
              <w:rPr>
                <w:b/>
              </w:rPr>
              <w:t>Dual-language model</w:t>
            </w:r>
          </w:p>
        </w:tc>
        <w:tc>
          <w:tcPr>
            <w:tcW w:w="12150" w:type="dxa"/>
            <w:gridSpan w:val="6"/>
            <w:shd w:val="pct60" w:color="FBD4B4" w:themeColor="accent6" w:themeTint="66" w:fill="auto"/>
          </w:tcPr>
          <w:p w:rsidR="009231A3" w:rsidRDefault="009231A3">
            <w:r>
              <w:t>English learners and native English speakers are educated together. They spend half the day learning in Spanish and half in English. Includes much hands-on learning in early years and positive interdependence among students.</w:t>
            </w:r>
          </w:p>
        </w:tc>
        <w:tc>
          <w:tcPr>
            <w:tcW w:w="720" w:type="dxa"/>
            <w:vMerge/>
            <w:shd w:val="solid" w:color="FBD4B4" w:themeColor="accent6" w:themeTint="66" w:fill="auto"/>
          </w:tcPr>
          <w:p w:rsidR="009231A3" w:rsidRDefault="009231A3"/>
        </w:tc>
      </w:tr>
      <w:tr w:rsidR="009231A3" w:rsidTr="00D36259">
        <w:tc>
          <w:tcPr>
            <w:tcW w:w="2070" w:type="dxa"/>
            <w:shd w:val="solid" w:color="FBD4B4" w:themeColor="accent6" w:themeTint="66" w:fill="auto"/>
          </w:tcPr>
          <w:p w:rsidR="009231A3" w:rsidRPr="00013235" w:rsidRDefault="009231A3">
            <w:pPr>
              <w:rPr>
                <w:b/>
              </w:rPr>
            </w:pPr>
          </w:p>
        </w:tc>
        <w:tc>
          <w:tcPr>
            <w:tcW w:w="2101" w:type="dxa"/>
            <w:shd w:val="clear" w:color="auto" w:fill="FFFFB3"/>
          </w:tcPr>
          <w:p w:rsidR="009231A3" w:rsidRDefault="009231A3">
            <w:r>
              <w:t>Minimum 6 years</w:t>
            </w:r>
          </w:p>
        </w:tc>
        <w:tc>
          <w:tcPr>
            <w:tcW w:w="2129" w:type="dxa"/>
          </w:tcPr>
          <w:p w:rsidR="009231A3" w:rsidRDefault="009231A3">
            <w:r>
              <w:t>Immigrant and native English speakers</w:t>
            </w:r>
          </w:p>
        </w:tc>
        <w:tc>
          <w:tcPr>
            <w:tcW w:w="1972" w:type="dxa"/>
            <w:shd w:val="clear" w:color="auto" w:fill="FFFFB3"/>
          </w:tcPr>
          <w:p w:rsidR="009231A3" w:rsidRDefault="009231A3">
            <w:r>
              <w:t>Minority language and English in a 50=50 ratio</w:t>
            </w:r>
          </w:p>
        </w:tc>
        <w:tc>
          <w:tcPr>
            <w:tcW w:w="1644" w:type="dxa"/>
          </w:tcPr>
          <w:p w:rsidR="009231A3" w:rsidRDefault="009231A3">
            <w:r>
              <w:t xml:space="preserve">Development and maintenance of </w:t>
            </w:r>
            <w:proofErr w:type="spellStart"/>
            <w:r>
              <w:t>bilinqualism</w:t>
            </w:r>
            <w:proofErr w:type="spellEnd"/>
            <w:r>
              <w:t xml:space="preserve"> for both English learners and English native speakers</w:t>
            </w:r>
          </w:p>
        </w:tc>
        <w:tc>
          <w:tcPr>
            <w:tcW w:w="3314" w:type="dxa"/>
            <w:shd w:val="clear" w:color="auto" w:fill="FFFFB3"/>
          </w:tcPr>
          <w:p w:rsidR="009231A3" w:rsidRDefault="009231A3">
            <w:r>
              <w:t>Most cost effective</w:t>
            </w:r>
          </w:p>
        </w:tc>
        <w:tc>
          <w:tcPr>
            <w:tcW w:w="990" w:type="dxa"/>
          </w:tcPr>
          <w:p w:rsidR="009231A3" w:rsidRDefault="009231A3">
            <w:r>
              <w:t>bilingual</w:t>
            </w:r>
          </w:p>
        </w:tc>
        <w:tc>
          <w:tcPr>
            <w:tcW w:w="720" w:type="dxa"/>
            <w:vMerge/>
          </w:tcPr>
          <w:p w:rsidR="009231A3" w:rsidRDefault="009231A3"/>
        </w:tc>
      </w:tr>
      <w:tr w:rsidR="002A0D13" w:rsidTr="00D36259">
        <w:tc>
          <w:tcPr>
            <w:tcW w:w="2070" w:type="dxa"/>
          </w:tcPr>
          <w:p w:rsidR="002A0D13" w:rsidRDefault="002A0D13"/>
        </w:tc>
        <w:tc>
          <w:tcPr>
            <w:tcW w:w="2101" w:type="dxa"/>
            <w:shd w:val="clear" w:color="auto" w:fill="FFFFB3"/>
          </w:tcPr>
          <w:p w:rsidR="002A0D13" w:rsidRDefault="002A0D13"/>
        </w:tc>
        <w:tc>
          <w:tcPr>
            <w:tcW w:w="2129" w:type="dxa"/>
          </w:tcPr>
          <w:p w:rsidR="002A0D13" w:rsidRDefault="002A0D13"/>
        </w:tc>
        <w:tc>
          <w:tcPr>
            <w:tcW w:w="1972" w:type="dxa"/>
          </w:tcPr>
          <w:p w:rsidR="002A0D13" w:rsidRDefault="002A0D13"/>
        </w:tc>
        <w:tc>
          <w:tcPr>
            <w:tcW w:w="1644" w:type="dxa"/>
          </w:tcPr>
          <w:p w:rsidR="002A0D13" w:rsidRDefault="002A0D13"/>
        </w:tc>
        <w:tc>
          <w:tcPr>
            <w:tcW w:w="3314" w:type="dxa"/>
            <w:shd w:val="clear" w:color="auto" w:fill="FFFFB3"/>
          </w:tcPr>
          <w:p w:rsidR="002A0D13" w:rsidRDefault="002A0D13"/>
        </w:tc>
        <w:tc>
          <w:tcPr>
            <w:tcW w:w="990" w:type="dxa"/>
          </w:tcPr>
          <w:p w:rsidR="002A0D13" w:rsidRDefault="002A0D13"/>
        </w:tc>
        <w:tc>
          <w:tcPr>
            <w:tcW w:w="720" w:type="dxa"/>
          </w:tcPr>
          <w:p w:rsidR="002A0D13" w:rsidRDefault="002A0D13"/>
        </w:tc>
      </w:tr>
      <w:tr w:rsidR="002A0D13" w:rsidTr="00D36259">
        <w:tc>
          <w:tcPr>
            <w:tcW w:w="2070" w:type="dxa"/>
          </w:tcPr>
          <w:p w:rsidR="002A0D13" w:rsidRDefault="002A0D13"/>
        </w:tc>
        <w:tc>
          <w:tcPr>
            <w:tcW w:w="2101" w:type="dxa"/>
            <w:shd w:val="clear" w:color="auto" w:fill="FFFFB3"/>
          </w:tcPr>
          <w:p w:rsidR="002A0D13" w:rsidRPr="00D36259" w:rsidRDefault="002A0D13">
            <w:pPr>
              <w:rPr>
                <w:b/>
              </w:rPr>
            </w:pPr>
            <w:r w:rsidRPr="00D36259">
              <w:rPr>
                <w:b/>
              </w:rPr>
              <w:t>lasts</w:t>
            </w:r>
            <w:r w:rsidR="00D36259" w:rsidRPr="00D36259">
              <w:rPr>
                <w:b/>
              </w:rPr>
              <w:t>↑</w:t>
            </w:r>
          </w:p>
        </w:tc>
        <w:tc>
          <w:tcPr>
            <w:tcW w:w="2129" w:type="dxa"/>
          </w:tcPr>
          <w:p w:rsidR="002A0D13" w:rsidRPr="00D36259" w:rsidRDefault="002A0D13">
            <w:pPr>
              <w:rPr>
                <w:b/>
              </w:rPr>
            </w:pPr>
            <w:r w:rsidRPr="00D36259">
              <w:rPr>
                <w:b/>
              </w:rPr>
              <w:t>Typical type of child</w:t>
            </w:r>
            <w:r w:rsidR="00D36259" w:rsidRPr="00D36259">
              <w:rPr>
                <w:b/>
              </w:rPr>
              <w:t>↑</w:t>
            </w:r>
          </w:p>
        </w:tc>
        <w:tc>
          <w:tcPr>
            <w:tcW w:w="1972" w:type="dxa"/>
            <w:shd w:val="clear" w:color="auto" w:fill="FFFFB3"/>
          </w:tcPr>
          <w:p w:rsidR="002A0D13" w:rsidRPr="00D36259" w:rsidRDefault="002A0D13">
            <w:pPr>
              <w:rPr>
                <w:b/>
              </w:rPr>
            </w:pPr>
            <w:r w:rsidRPr="00D36259">
              <w:rPr>
                <w:b/>
              </w:rPr>
              <w:t>Language of classroom</w:t>
            </w:r>
            <w:r w:rsidR="00D36259" w:rsidRPr="00D36259">
              <w:rPr>
                <w:b/>
              </w:rPr>
              <w:t>↑</w:t>
            </w:r>
          </w:p>
        </w:tc>
        <w:tc>
          <w:tcPr>
            <w:tcW w:w="1644" w:type="dxa"/>
          </w:tcPr>
          <w:p w:rsidR="002A0D13" w:rsidRPr="00D36259" w:rsidRDefault="002A0D13">
            <w:pPr>
              <w:rPr>
                <w:b/>
              </w:rPr>
            </w:pPr>
            <w:r w:rsidRPr="00D36259">
              <w:rPr>
                <w:b/>
              </w:rPr>
              <w:t>Aim of language outcome</w:t>
            </w:r>
            <w:r w:rsidR="00D36259" w:rsidRPr="00D36259">
              <w:rPr>
                <w:b/>
              </w:rPr>
              <w:t>↑</w:t>
            </w:r>
          </w:p>
        </w:tc>
        <w:tc>
          <w:tcPr>
            <w:tcW w:w="3314" w:type="dxa"/>
            <w:shd w:val="clear" w:color="auto" w:fill="FFFFB3"/>
          </w:tcPr>
          <w:p w:rsidR="002A0D13" w:rsidRPr="00D36259" w:rsidRDefault="002A0D13">
            <w:pPr>
              <w:rPr>
                <w:b/>
              </w:rPr>
            </w:pPr>
            <w:r w:rsidRPr="00D36259">
              <w:rPr>
                <w:b/>
              </w:rPr>
              <w:t>Cost-effectiveness</w:t>
            </w:r>
            <w:r w:rsidR="00D36259" w:rsidRPr="00D36259">
              <w:rPr>
                <w:b/>
              </w:rPr>
              <w:t>↑</w:t>
            </w:r>
          </w:p>
        </w:tc>
        <w:tc>
          <w:tcPr>
            <w:tcW w:w="990" w:type="dxa"/>
          </w:tcPr>
          <w:p w:rsidR="002A0D13" w:rsidRPr="00D36259" w:rsidRDefault="002A0D13">
            <w:pPr>
              <w:rPr>
                <w:b/>
              </w:rPr>
            </w:pPr>
            <w:proofErr w:type="spellStart"/>
            <w:r w:rsidRPr="00D36259">
              <w:rPr>
                <w:b/>
              </w:rPr>
              <w:t>Teachercompe-tency</w:t>
            </w:r>
            <w:proofErr w:type="spellEnd"/>
            <w:r w:rsidR="00D36259" w:rsidRPr="00D36259">
              <w:rPr>
                <w:b/>
              </w:rPr>
              <w:t>↑</w:t>
            </w:r>
          </w:p>
        </w:tc>
        <w:tc>
          <w:tcPr>
            <w:tcW w:w="720" w:type="dxa"/>
          </w:tcPr>
          <w:p w:rsidR="002A0D13" w:rsidRDefault="002A0D13"/>
        </w:tc>
      </w:tr>
    </w:tbl>
    <w:p w:rsidR="00E446BF" w:rsidRDefault="00B549B6"/>
    <w:sectPr w:rsidR="00E446BF" w:rsidSect="00B234EE">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defaultTabStop w:val="720"/>
  <w:drawingGridHorizontalSpacing w:val="110"/>
  <w:displayHorizontalDrawingGridEvery w:val="2"/>
  <w:characterSpacingControl w:val="doNotCompress"/>
  <w:compat/>
  <w:rsids>
    <w:rsidRoot w:val="0063379D"/>
    <w:rsid w:val="00013235"/>
    <w:rsid w:val="002A0D13"/>
    <w:rsid w:val="0063379D"/>
    <w:rsid w:val="00642B6B"/>
    <w:rsid w:val="009231A3"/>
    <w:rsid w:val="00950DFA"/>
    <w:rsid w:val="00B234EE"/>
    <w:rsid w:val="00B64987"/>
    <w:rsid w:val="00C27728"/>
    <w:rsid w:val="00CD687B"/>
    <w:rsid w:val="00D36259"/>
    <w:rsid w:val="00D959B7"/>
    <w:rsid w:val="00DF68F3"/>
    <w:rsid w:val="00E059FE"/>
    <w:rsid w:val="00F323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37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dperry3-2-10</dc:creator>
  <cp:keywords/>
  <dc:description/>
  <cp:lastModifiedBy>dperry3-2-10</cp:lastModifiedBy>
  <cp:revision>2</cp:revision>
  <dcterms:created xsi:type="dcterms:W3CDTF">2010-04-08T13:49:00Z</dcterms:created>
  <dcterms:modified xsi:type="dcterms:W3CDTF">2010-04-08T13:49:00Z</dcterms:modified>
</cp:coreProperties>
</file>